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126C14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12010</w:t>
      </w:r>
      <w:r w:rsidR="00126C14">
        <w:rPr>
          <w:sz w:val="28"/>
          <w:szCs w:val="28"/>
        </w:rPr>
        <w:t>5</w:t>
      </w:r>
      <w:r w:rsidRPr="002D4EBA">
        <w:rPr>
          <w:sz w:val="28"/>
          <w:szCs w:val="28"/>
        </w:rPr>
        <w:t>:</w:t>
      </w:r>
      <w:r w:rsidR="00126C14">
        <w:rPr>
          <w:sz w:val="28"/>
          <w:szCs w:val="28"/>
        </w:rPr>
        <w:t>340</w:t>
      </w:r>
      <w:r w:rsidRPr="002D4EBA">
        <w:rPr>
          <w:sz w:val="28"/>
          <w:szCs w:val="28"/>
        </w:rPr>
        <w:t xml:space="preserve">, расположенного по адресу:   </w:t>
      </w:r>
      <w:bookmarkStart w:id="0" w:name="_GoBack"/>
      <w:r w:rsidRPr="002D4EBA">
        <w:rPr>
          <w:sz w:val="28"/>
          <w:szCs w:val="28"/>
        </w:rPr>
        <w:t>Иркутская область, Усть-Кут</w:t>
      </w:r>
      <w:r>
        <w:rPr>
          <w:sz w:val="28"/>
          <w:szCs w:val="28"/>
        </w:rPr>
        <w:t xml:space="preserve">ский район, </w:t>
      </w:r>
      <w:proofErr w:type="spellStart"/>
      <w:r>
        <w:rPr>
          <w:sz w:val="28"/>
          <w:szCs w:val="28"/>
        </w:rPr>
        <w:t>рп</w:t>
      </w:r>
      <w:proofErr w:type="spellEnd"/>
      <w:r>
        <w:rPr>
          <w:sz w:val="28"/>
          <w:szCs w:val="28"/>
        </w:rPr>
        <w:t>.</w:t>
      </w:r>
      <w:r w:rsidR="00DD68B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Звёздный</w:t>
      </w:r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126C14">
        <w:rPr>
          <w:sz w:val="28"/>
          <w:szCs w:val="28"/>
        </w:rPr>
        <w:t>Нийская</w:t>
      </w:r>
      <w:proofErr w:type="spellEnd"/>
      <w:r w:rsidRPr="002D4EBA">
        <w:rPr>
          <w:sz w:val="28"/>
          <w:szCs w:val="28"/>
        </w:rPr>
        <w:t xml:space="preserve">, </w:t>
      </w:r>
      <w:r w:rsidR="00DD68B9">
        <w:rPr>
          <w:sz w:val="28"/>
          <w:szCs w:val="28"/>
        </w:rPr>
        <w:t xml:space="preserve">д. </w:t>
      </w:r>
      <w:r w:rsidR="00126C14">
        <w:rPr>
          <w:sz w:val="28"/>
          <w:szCs w:val="28"/>
        </w:rPr>
        <w:t>4</w:t>
      </w:r>
      <w:r w:rsidR="00917A99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    </w:t>
      </w:r>
      <w:r w:rsidR="00917A99">
        <w:rPr>
          <w:sz w:val="28"/>
          <w:szCs w:val="28"/>
        </w:rPr>
        <w:t xml:space="preserve">кв. </w:t>
      </w:r>
      <w:r w:rsidR="00126C14">
        <w:rPr>
          <w:sz w:val="28"/>
          <w:szCs w:val="28"/>
        </w:rPr>
        <w:t>2</w:t>
      </w:r>
      <w:bookmarkEnd w:id="0"/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>выявлен</w:t>
      </w:r>
      <w:r w:rsidR="00DD68B9">
        <w:rPr>
          <w:sz w:val="28"/>
          <w:szCs w:val="28"/>
        </w:rPr>
        <w:t>ы</w:t>
      </w:r>
      <w:r w:rsidR="00917A99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>в качестве его правообладател</w:t>
      </w:r>
      <w:r w:rsidR="00DD68B9">
        <w:rPr>
          <w:sz w:val="28"/>
          <w:szCs w:val="28"/>
        </w:rPr>
        <w:t>ей</w:t>
      </w:r>
      <w:r w:rsidR="00917A99">
        <w:rPr>
          <w:sz w:val="28"/>
          <w:szCs w:val="28"/>
        </w:rPr>
        <w:t>, владеющ</w:t>
      </w:r>
      <w:r w:rsidR="00DD68B9">
        <w:rPr>
          <w:sz w:val="28"/>
          <w:szCs w:val="28"/>
        </w:rPr>
        <w:t>ие</w:t>
      </w:r>
      <w:r w:rsidR="00917A99">
        <w:rPr>
          <w:sz w:val="28"/>
          <w:szCs w:val="28"/>
        </w:rPr>
        <w:t xml:space="preserve"> данным объектом недвижимости на праве</w:t>
      </w:r>
      <w:r w:rsidR="00DD68B9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proofErr w:type="spellStart"/>
      <w:r w:rsidR="00126C14">
        <w:rPr>
          <w:sz w:val="28"/>
          <w:szCs w:val="28"/>
        </w:rPr>
        <w:t>Сергаков</w:t>
      </w:r>
      <w:proofErr w:type="spellEnd"/>
      <w:r w:rsidR="00126C14">
        <w:rPr>
          <w:sz w:val="28"/>
          <w:szCs w:val="28"/>
        </w:rPr>
        <w:t xml:space="preserve"> Вячеслав Аркадьевич</w:t>
      </w:r>
      <w:r w:rsidRPr="002D4EBA">
        <w:rPr>
          <w:sz w:val="28"/>
          <w:szCs w:val="28"/>
        </w:rPr>
        <w:t xml:space="preserve">, </w:t>
      </w:r>
      <w:r w:rsidR="00250CE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</w:t>
      </w:r>
      <w:r w:rsidR="00250CE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250CE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номер </w:t>
      </w:r>
      <w:r w:rsidR="00250CE9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250CE9">
        <w:rPr>
          <w:sz w:val="28"/>
          <w:szCs w:val="28"/>
        </w:rPr>
        <w:t>….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250CE9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126C14">
        <w:rPr>
          <w:sz w:val="28"/>
          <w:szCs w:val="28"/>
        </w:rPr>
        <w:t xml:space="preserve">СНИЛС  </w:t>
      </w:r>
      <w:r w:rsidR="00250CE9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250CE9">
        <w:rPr>
          <w:sz w:val="28"/>
          <w:szCs w:val="28"/>
        </w:rPr>
        <w:t>…..</w:t>
      </w:r>
      <w:r w:rsidR="002564A4">
        <w:rPr>
          <w:sz w:val="28"/>
          <w:szCs w:val="28"/>
        </w:rPr>
        <w:t>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DD68B9">
        <w:rPr>
          <w:sz w:val="28"/>
          <w:szCs w:val="28"/>
        </w:rPr>
        <w:t>общей долевой собственности</w:t>
      </w:r>
      <w:r w:rsidR="00CB0552">
        <w:rPr>
          <w:sz w:val="28"/>
          <w:szCs w:val="28"/>
        </w:rPr>
        <w:t>, доля в праве 1/3</w:t>
      </w:r>
      <w:r w:rsidR="00DD68B9">
        <w:rPr>
          <w:sz w:val="28"/>
          <w:szCs w:val="28"/>
        </w:rPr>
        <w:t xml:space="preserve"> </w:t>
      </w:r>
      <w:proofErr w:type="spellStart"/>
      <w:r w:rsidR="00126C14">
        <w:rPr>
          <w:sz w:val="28"/>
          <w:szCs w:val="28"/>
        </w:rPr>
        <w:t>С</w:t>
      </w:r>
      <w:r w:rsidR="00CB0552">
        <w:rPr>
          <w:sz w:val="28"/>
          <w:szCs w:val="28"/>
        </w:rPr>
        <w:t>ергакова</w:t>
      </w:r>
      <w:proofErr w:type="spellEnd"/>
      <w:r w:rsidR="00CB0552">
        <w:rPr>
          <w:sz w:val="28"/>
          <w:szCs w:val="28"/>
        </w:rPr>
        <w:t xml:space="preserve"> Вячеслава Аркадьевича </w:t>
      </w:r>
      <w:r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250CE9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55380E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55380E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26C14"/>
    <w:rsid w:val="001D259A"/>
    <w:rsid w:val="00250CE9"/>
    <w:rsid w:val="002564A4"/>
    <w:rsid w:val="00274334"/>
    <w:rsid w:val="002C32D3"/>
    <w:rsid w:val="002D4EBA"/>
    <w:rsid w:val="00310D72"/>
    <w:rsid w:val="00324BB8"/>
    <w:rsid w:val="004437DB"/>
    <w:rsid w:val="004956F7"/>
    <w:rsid w:val="004D0D0D"/>
    <w:rsid w:val="00532078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55CED"/>
    <w:rsid w:val="00961D12"/>
    <w:rsid w:val="00A06032"/>
    <w:rsid w:val="00B12D5C"/>
    <w:rsid w:val="00B204AE"/>
    <w:rsid w:val="00C45EE4"/>
    <w:rsid w:val="00CB0552"/>
    <w:rsid w:val="00D55F5C"/>
    <w:rsid w:val="00DD68B9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15</cp:revision>
  <cp:lastPrinted>2024-02-14T08:45:00Z</cp:lastPrinted>
  <dcterms:created xsi:type="dcterms:W3CDTF">2024-02-06T04:07:00Z</dcterms:created>
  <dcterms:modified xsi:type="dcterms:W3CDTF">2024-04-05T02:13:00Z</dcterms:modified>
</cp:coreProperties>
</file>