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1137BE">
        <w:rPr>
          <w:sz w:val="28"/>
          <w:szCs w:val="28"/>
        </w:rPr>
        <w:t>236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37BE">
        <w:rPr>
          <w:sz w:val="28"/>
          <w:szCs w:val="28"/>
        </w:rPr>
        <w:t>Петунина Светлана Александровна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1137BE">
        <w:rPr>
          <w:sz w:val="28"/>
          <w:szCs w:val="28"/>
        </w:rPr>
        <w:t xml:space="preserve"> собственности Петуниной Светланы Александровны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137BE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28</cp:revision>
  <cp:lastPrinted>2024-07-24T06:08:00Z</cp:lastPrinted>
  <dcterms:created xsi:type="dcterms:W3CDTF">2024-02-06T04:07:00Z</dcterms:created>
  <dcterms:modified xsi:type="dcterms:W3CDTF">2024-07-24T06:11:00Z</dcterms:modified>
</cp:coreProperties>
</file>