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 от</w:t>
      </w:r>
      <w:r w:rsidR="000429FC">
        <w:rPr>
          <w:rFonts w:ascii="Times New Roman" w:hAnsi="Times New Roman"/>
          <w:sz w:val="24"/>
          <w:szCs w:val="24"/>
        </w:rPr>
        <w:t xml:space="preserve"> 14.12.2021г.</w:t>
      </w:r>
      <w:r w:rsidR="000429FC">
        <w:rPr>
          <w:rFonts w:ascii="Times New Roman" w:hAnsi="Times New Roman"/>
          <w:sz w:val="24"/>
          <w:szCs w:val="24"/>
        </w:rPr>
        <w:tab/>
      </w:r>
      <w:r w:rsidR="000429FC">
        <w:rPr>
          <w:rFonts w:ascii="Times New Roman" w:hAnsi="Times New Roman"/>
          <w:sz w:val="24"/>
          <w:szCs w:val="24"/>
        </w:rPr>
        <w:tab/>
      </w:r>
      <w:r w:rsidR="000429FC">
        <w:rPr>
          <w:rFonts w:ascii="Times New Roman" w:hAnsi="Times New Roman"/>
          <w:sz w:val="24"/>
          <w:szCs w:val="24"/>
        </w:rPr>
        <w:tab/>
      </w:r>
      <w:r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№</w:t>
      </w:r>
      <w:r w:rsidR="000429FC">
        <w:rPr>
          <w:rFonts w:ascii="Times New Roman" w:hAnsi="Times New Roman"/>
          <w:sz w:val="24"/>
          <w:szCs w:val="24"/>
        </w:rPr>
        <w:t xml:space="preserve"> 527-п</w:t>
      </w:r>
    </w:p>
    <w:p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:rsidR="00F52863" w:rsidRDefault="00BF7DE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земельному </w:t>
      </w:r>
      <w:r w:rsidR="00F52863">
        <w:rPr>
          <w:rFonts w:ascii="Times New Roman" w:hAnsi="Times New Roman"/>
          <w:sz w:val="24"/>
          <w:szCs w:val="24"/>
        </w:rPr>
        <w:t>контролю на межселенной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на 2022 год</w:t>
      </w:r>
    </w:p>
    <w:p w:rsidR="00F52863" w:rsidRPr="00F52863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D1355D"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по муниципальному </w:t>
      </w:r>
      <w:r w:rsidR="00BF7DE3">
        <w:rPr>
          <w:rFonts w:ascii="Times New Roman" w:hAnsi="Times New Roman"/>
          <w:sz w:val="24"/>
          <w:szCs w:val="24"/>
        </w:rPr>
        <w:t>земельному</w:t>
      </w:r>
      <w:r>
        <w:rPr>
          <w:rFonts w:ascii="Times New Roman" w:hAnsi="Times New Roman"/>
          <w:sz w:val="24"/>
          <w:szCs w:val="24"/>
        </w:rPr>
        <w:t xml:space="preserve"> контролю на межселенной территории Усть-Кутского муниципального образования 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F52863" w:rsidRDefault="00F52863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0429FC" w:rsidRDefault="000429FC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0429FC" w:rsidRDefault="000429FC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0429FC" w:rsidRDefault="000429FC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0429FC" w:rsidRDefault="000429FC" w:rsidP="00E118A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0429FC" w:rsidRPr="00F52863" w:rsidRDefault="000429FC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от </w:t>
      </w:r>
      <w:r w:rsidR="000429F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14.12.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2021</w:t>
      </w:r>
      <w:r w:rsidR="000429F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</w:t>
      </w:r>
      <w:r w:rsidR="000429F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527-п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92F47" w:rsidRPr="00F52863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</w:t>
      </w:r>
      <w:bookmarkStart w:id="0" w:name="_GoBack"/>
      <w:bookmarkEnd w:id="0"/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BF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земельному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:rsidR="006F1D30" w:rsidRPr="00F52863" w:rsidRDefault="006F1D30" w:rsidP="006F1D30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2022 год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BF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земельному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2022 год</w:t>
      </w:r>
    </w:p>
    <w:p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036E2" w:rsidRPr="00F52863" w:rsidRDefault="007419A5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земельный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B1E46" w:rsidRPr="00F52863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земельный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земельному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земельного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8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 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снижения рисков причинения ущерба охраняемым законом ценностям.</w:t>
      </w:r>
    </w:p>
    <w:p w:rsidR="000D6667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земельного законодательства в отношении объектов земельных отношений, за </w:t>
      </w:r>
      <w:r w:rsidR="00D81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нарушение которых предусмотрена административная ответственность.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D11E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80471B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земельного контроля;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обжалования действий (бездействий) должностных лиц;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D13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D1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А.Ю.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Шалагин</w:t>
      </w:r>
      <w:proofErr w:type="spellEnd"/>
    </w:p>
    <w:sectPr w:rsidR="00C22721" w:rsidRPr="00F52863" w:rsidSect="0077111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11" w:rsidRDefault="004F7711">
      <w:r>
        <w:separator/>
      </w:r>
    </w:p>
  </w:endnote>
  <w:endnote w:type="continuationSeparator" w:id="0">
    <w:p w:rsidR="004F7711" w:rsidRDefault="004F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11" w:rsidRDefault="004F7711">
      <w:r>
        <w:separator/>
      </w:r>
    </w:p>
  </w:footnote>
  <w:footnote w:type="continuationSeparator" w:id="0">
    <w:p w:rsidR="004F7711" w:rsidRDefault="004F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429FC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4F7711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FD57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0E56-BBBA-4FB5-9EEF-0CA3133D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Кравчук Т.Ю.</cp:lastModifiedBy>
  <cp:revision>10</cp:revision>
  <cp:lastPrinted>2021-12-13T04:52:00Z</cp:lastPrinted>
  <dcterms:created xsi:type="dcterms:W3CDTF">2021-12-07T06:48:00Z</dcterms:created>
  <dcterms:modified xsi:type="dcterms:W3CDTF">2021-12-17T03:42:00Z</dcterms:modified>
</cp:coreProperties>
</file>