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F52863" w:rsidRDefault="008A4679" w:rsidP="008A4679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ПРОЕКТ</w:t>
      </w:r>
      <w:bookmarkStart w:id="0" w:name="_GoBack"/>
      <w:bookmarkEnd w:id="0"/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423DC8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лесному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контролю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отношении лесных участков, находящихся в муниципальной собственности Усть-Кутского муниципального образования на 2022 год 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лесному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контролю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отношении лесных участков, находящихся в муниципальной собственности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на 2022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:rsidR="001D45D2" w:rsidRDefault="001D45D2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23DC8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лесных участков, находящихся в муниципальной собственности Усть-Кутского муниципального образования (далее – муниципальный лесной контроль)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предупреждение, выявление и пресечение нарушений обязательных требований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</w:t>
      </w:r>
      <w:r w:rsidR="00E770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A77F1" w:rsidRPr="004A77F1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 xml:space="preserve">Комитета </w:t>
      </w:r>
      <w:r w:rsidR="00A970F5">
        <w:rPr>
          <w:rFonts w:ascii="Times New Roman" w:hAnsi="Times New Roman"/>
          <w:sz w:val="28"/>
          <w:szCs w:val="28"/>
        </w:rPr>
        <w:t>сельскому хозяйству, природным ресурсам и экологии</w:t>
      </w:r>
      <w:r w:rsidR="004A77F1" w:rsidRPr="004A77F1">
        <w:rPr>
          <w:rFonts w:ascii="Times New Roman" w:hAnsi="Times New Roman"/>
          <w:sz w:val="28"/>
          <w:szCs w:val="28"/>
        </w:rPr>
        <w:t xml:space="preserve">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лесной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лесному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лесного контроля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лесного контроля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ушение обязательных требований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лесного законодательства в отношении земельных участков, находящихся в муниципальной собственности Усть-Кутского муниципального образования.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лесного 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250E4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250E4D"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250E4D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лесного контроля;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порядок обжалования действий (бездействий) должностных лиц;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:rsidR="00250E4D" w:rsidRPr="00F52863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250E4D" w:rsidRPr="00F52863" w:rsidRDefault="00250E4D" w:rsidP="00250E4D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AB4321" w:rsidRDefault="00250E4D" w:rsidP="00250E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250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лесного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50E4D" w:rsidRDefault="00C22721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сельскому </w:t>
      </w:r>
    </w:p>
    <w:p w:rsidR="00250E4D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хозяйству, природным ресурсам и</w:t>
      </w:r>
    </w:p>
    <w:p w:rsidR="00C22721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экологии </w:t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униципального образовании                                                             М.Ю. </w:t>
      </w:r>
      <w:proofErr w:type="spellStart"/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Тышкивский</w:t>
      </w:r>
      <w:proofErr w:type="spellEnd"/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0E4D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6395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A4679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AB6F-78C8-477A-9D02-E38A09AC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Ирина И.К.. Смирнова</cp:lastModifiedBy>
  <cp:revision>2</cp:revision>
  <cp:lastPrinted>2021-12-13T09:36:00Z</cp:lastPrinted>
  <dcterms:created xsi:type="dcterms:W3CDTF">2021-12-14T01:53:00Z</dcterms:created>
  <dcterms:modified xsi:type="dcterms:W3CDTF">2021-12-14T01:53:00Z</dcterms:modified>
</cp:coreProperties>
</file>