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8A6" w:rsidRPr="00D44F9E" w:rsidRDefault="00E118A6" w:rsidP="00E118A6">
      <w:pPr>
        <w:spacing w:line="276" w:lineRule="auto"/>
        <w:jc w:val="right"/>
        <w:rPr>
          <w:rFonts w:ascii="PT Astra Serif" w:eastAsia="Times New Roman" w:hAnsi="PT Astra Serif"/>
          <w:bCs/>
          <w:color w:val="000000" w:themeColor="text1"/>
          <w:spacing w:val="-4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bCs/>
          <w:color w:val="000000" w:themeColor="text1"/>
          <w:spacing w:val="-4"/>
          <w:sz w:val="28"/>
          <w:szCs w:val="28"/>
          <w:lang w:eastAsia="ru-RU"/>
        </w:rPr>
        <w:t>ПРОЕКТ</w:t>
      </w:r>
    </w:p>
    <w:p w:rsidR="006F1D30" w:rsidRPr="00D44F9E" w:rsidRDefault="006F1D30" w:rsidP="006F1D30">
      <w:pPr>
        <w:widowControl w:val="0"/>
        <w:tabs>
          <w:tab w:val="left" w:pos="8364"/>
        </w:tabs>
        <w:autoSpaceDE w:val="0"/>
        <w:autoSpaceDN w:val="0"/>
        <w:adjustRightInd w:val="0"/>
        <w:ind w:firstLine="7088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:rsidR="00192F47" w:rsidRPr="00D44F9E" w:rsidRDefault="006F1D30" w:rsidP="00192F47">
      <w:pPr>
        <w:pStyle w:val="af2"/>
        <w:ind w:firstLine="851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44F9E">
        <w:rPr>
          <w:rFonts w:ascii="PT Astra Serif" w:eastAsia="Times New Roman" w:hAnsi="PT Astra Serif"/>
          <w:b/>
          <w:bCs/>
          <w:color w:val="000000" w:themeColor="text1"/>
          <w:spacing w:val="-4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</w:t>
      </w:r>
      <w:r w:rsidR="00192F47" w:rsidRPr="00D44F9E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муниципальному жилищному контролю на </w:t>
      </w:r>
      <w:r w:rsidR="000B1E46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межселенной </w:t>
      </w:r>
      <w:r w:rsidR="00192F47" w:rsidRPr="00D44F9E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территории </w:t>
      </w:r>
      <w:r w:rsidR="000B1E46">
        <w:rPr>
          <w:rFonts w:ascii="PT Astra Serif" w:hAnsi="PT Astra Serif" w:cs="Times New Roman"/>
          <w:b/>
          <w:color w:val="000000" w:themeColor="text1"/>
          <w:sz w:val="28"/>
          <w:szCs w:val="28"/>
        </w:rPr>
        <w:t>Усть-Кутского муниципального образования</w:t>
      </w:r>
    </w:p>
    <w:p w:rsidR="006F1D30" w:rsidRPr="00D44F9E" w:rsidRDefault="006F1D30" w:rsidP="006F1D30">
      <w:pPr>
        <w:jc w:val="center"/>
        <w:rPr>
          <w:rFonts w:ascii="PT Astra Serif" w:eastAsia="Times New Roman" w:hAnsi="PT Astra Serif"/>
          <w:b/>
          <w:bCs/>
          <w:color w:val="000000" w:themeColor="text1"/>
          <w:spacing w:val="-4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b/>
          <w:bCs/>
          <w:color w:val="000000" w:themeColor="text1"/>
          <w:spacing w:val="-4"/>
          <w:sz w:val="28"/>
          <w:szCs w:val="28"/>
          <w:lang w:eastAsia="ru-RU"/>
        </w:rPr>
        <w:t>на 2022 год</w:t>
      </w:r>
    </w:p>
    <w:p w:rsidR="006F1D30" w:rsidRPr="00D44F9E" w:rsidRDefault="006F1D30" w:rsidP="00302AAE">
      <w:pPr>
        <w:rPr>
          <w:rFonts w:ascii="PT Astra Serif" w:eastAsia="Times New Roman" w:hAnsi="PT Astra Serif"/>
          <w:bCs/>
          <w:color w:val="000000" w:themeColor="text1"/>
          <w:spacing w:val="-4"/>
          <w:sz w:val="28"/>
          <w:szCs w:val="28"/>
          <w:lang w:eastAsia="ru-RU"/>
        </w:rPr>
      </w:pPr>
    </w:p>
    <w:p w:rsidR="006F1D30" w:rsidRPr="00D44F9E" w:rsidRDefault="007419A5" w:rsidP="003351BE">
      <w:pPr>
        <w:pStyle w:val="af2"/>
        <w:ind w:firstLine="851"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D44F9E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 xml:space="preserve">Раздел 1. </w:t>
      </w:r>
      <w:r w:rsidR="00302AAE" w:rsidRPr="00D44F9E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</w:t>
      </w:r>
      <w:r w:rsidR="00AA6BD1" w:rsidRPr="00D44F9E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 xml:space="preserve"> </w:t>
      </w:r>
      <w:r w:rsidR="00302AAE" w:rsidRPr="00D44F9E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>на решение которых направлена программа профилактики</w:t>
      </w:r>
      <w:r w:rsidR="00A8544B" w:rsidRPr="00D44F9E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 xml:space="preserve"> рисков причинения вреда (ущерба) охраняемым законом ценностям по </w:t>
      </w:r>
      <w:r w:rsidR="00192F47" w:rsidRPr="00D44F9E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муниципальному жилищному контролю на </w:t>
      </w:r>
      <w:r w:rsidR="000B1E46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межселенной </w:t>
      </w:r>
      <w:r w:rsidR="00192F47" w:rsidRPr="00D44F9E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территории </w:t>
      </w:r>
      <w:r w:rsidR="000B1E46">
        <w:rPr>
          <w:rFonts w:ascii="PT Astra Serif" w:hAnsi="PT Astra Serif" w:cs="Times New Roman"/>
          <w:b/>
          <w:color w:val="000000" w:themeColor="text1"/>
          <w:sz w:val="28"/>
          <w:szCs w:val="28"/>
        </w:rPr>
        <w:t>Усть-Кутского муниципального образования</w:t>
      </w:r>
      <w:r w:rsidR="003351BE" w:rsidRPr="00D44F9E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="00A8544B" w:rsidRPr="00D44F9E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>на 2022 год</w:t>
      </w:r>
    </w:p>
    <w:p w:rsidR="007419A5" w:rsidRPr="00D44F9E" w:rsidRDefault="007419A5" w:rsidP="007419A5">
      <w:pP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:rsidR="009036E2" w:rsidRPr="00D44F9E" w:rsidRDefault="007419A5" w:rsidP="00BB7832">
      <w:pPr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ab/>
      </w:r>
      <w:r w:rsidR="00735B2C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20044F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жилищный </w:t>
      </w:r>
      <w:r w:rsidR="00735B2C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контроль – деятельность, направленная </w:t>
      </w:r>
      <w:r w:rsidR="00F118C4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                  </w:t>
      </w:r>
      <w:r w:rsidR="00735B2C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на предупреждение, выявление и пресечение нарушений обязательных требований </w:t>
      </w:r>
      <w:r w:rsidR="0020044F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жилищного </w:t>
      </w:r>
      <w:r w:rsidR="00735B2C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законодательства (далее </w:t>
      </w:r>
      <w:r w:rsidR="008D050E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-</w:t>
      </w:r>
      <w:r w:rsidR="00902528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="00735B2C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0B1E46" w:rsidRDefault="009036E2" w:rsidP="009036E2">
      <w:pPr>
        <w:widowControl w:val="0"/>
        <w:autoSpaceDE w:val="0"/>
        <w:autoSpaceDN w:val="0"/>
        <w:ind w:firstLine="851"/>
        <w:jc w:val="both"/>
        <w:rPr>
          <w:rFonts w:ascii="PT Astra Serif" w:eastAsia="Times New Roman" w:hAnsi="PT Astra Serif" w:cs="Calibri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 w:cs="Calibri"/>
          <w:color w:val="000000" w:themeColor="text1"/>
          <w:sz w:val="28"/>
          <w:szCs w:val="28"/>
          <w:lang w:eastAsia="ru-RU"/>
        </w:rPr>
        <w:t xml:space="preserve">Органом, уполномоченным на осуществление муниципального жилищного контроля на </w:t>
      </w:r>
      <w:r w:rsidR="000B1E46">
        <w:rPr>
          <w:rFonts w:ascii="PT Astra Serif" w:eastAsia="Times New Roman" w:hAnsi="PT Astra Serif" w:cs="Calibri"/>
          <w:color w:val="000000" w:themeColor="text1"/>
          <w:sz w:val="28"/>
          <w:szCs w:val="28"/>
          <w:lang w:eastAsia="ru-RU"/>
        </w:rPr>
        <w:t>межселенной территории Усть-Кутского муниципального образования, является Администрация Усть-Кутского муниципального образования в лице Комитета по управлению муниципальным имуществом Усть-Кутского муниципального образования.</w:t>
      </w:r>
    </w:p>
    <w:p w:rsidR="009A2462" w:rsidRPr="00D44F9E" w:rsidRDefault="00C33AAE" w:rsidP="00BB7832">
      <w:pPr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ab/>
      </w:r>
      <w:r w:rsidR="00D80454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Муниципальный </w:t>
      </w:r>
      <w:r w:rsidR="00544916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жилищный </w:t>
      </w:r>
      <w:r w:rsidR="00D80454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контроль осуществляется посредством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="00544916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жилищного </w:t>
      </w:r>
      <w:r w:rsidR="00D80454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законодательства,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</w:t>
      </w:r>
      <w:r w:rsidR="005116BE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, </w:t>
      </w:r>
      <w:r w:rsidR="008F7E9A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организации и проведения мероприятий по профилактике рисков причинения вреда (ущерба) охраняемым законом ценностям, организации</w:t>
      </w:r>
      <w:r w:rsidR="000B1E46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="008F7E9A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="000B1E46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и гражданами</w:t>
      </w:r>
      <w:r w:rsidR="00285FD0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.</w:t>
      </w:r>
    </w:p>
    <w:p w:rsidR="00320D1D" w:rsidRPr="00D44F9E" w:rsidRDefault="009E73EF" w:rsidP="00313434">
      <w:pPr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муниципальному </w:t>
      </w:r>
      <w:r w:rsidR="00A41B12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жилищному </w:t>
      </w: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контролю </w:t>
      </w:r>
      <w:r w:rsidR="00FC6DEB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на </w:t>
      </w:r>
      <w:r w:rsidR="000B1E46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межселенной </w:t>
      </w:r>
      <w:r w:rsidR="00FC6DEB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территории</w:t>
      </w:r>
      <w:r w:rsidR="000B1E46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Усть-Кутского муниципального образования на 2022 год </w:t>
      </w: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(далее – </w:t>
      </w:r>
      <w:r w:rsidR="00532345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п</w:t>
      </w: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рограмма профилактики) </w:t>
      </w:r>
      <w:r w:rsidR="00BB7832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разработана в соответствии со статьей 44 Федерального закона от 31</w:t>
      </w:r>
      <w:r w:rsidR="00320D1D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.07.</w:t>
      </w:r>
      <w:r w:rsidR="00BB7832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2021</w:t>
      </w:r>
      <w:r w:rsidR="00787F71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года </w:t>
      </w:r>
      <w:r w:rsidR="00320D1D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№</w:t>
      </w:r>
      <w:r w:rsidR="00BB7832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248-ФЗ</w:t>
      </w:r>
      <w:r w:rsidR="00787F71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="00BB7832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«О государственном контроле (надзоре) и </w:t>
      </w:r>
      <w:r w:rsidR="00BB7832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lastRenderedPageBreak/>
        <w:t>муниципальном контроле</w:t>
      </w:r>
      <w:r w:rsidR="00787F71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="00BB7832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в Российской Федерации», постановлением Правительства Российской Федерации от 25</w:t>
      </w:r>
      <w:r w:rsidR="00320D1D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.06.</w:t>
      </w:r>
      <w:r w:rsidR="00BB7832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2021</w:t>
      </w:r>
      <w:r w:rsidR="00320D1D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="00BB7832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611ADF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жилищного </w:t>
      </w:r>
      <w:r w:rsidR="00BB7832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контроля.</w:t>
      </w:r>
    </w:p>
    <w:p w:rsidR="00BB7832" w:rsidRPr="00D44F9E" w:rsidRDefault="00BB7832" w:rsidP="00320D1D">
      <w:pPr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В связи с вступлением в законную силу </w:t>
      </w:r>
      <w:r w:rsidR="00A85A49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Положения</w:t>
      </w:r>
      <w:r w:rsidR="00CC28AD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об осуществлении муниципального жилищного контроля </w:t>
      </w:r>
      <w:r w:rsidR="00E50C37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на межселенной территории Усть-Кутского муниципального образования</w:t>
      </w:r>
      <w:r w:rsidR="005400D8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, утвержденного </w:t>
      </w:r>
      <w:r w:rsidR="00455AE7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р</w:t>
      </w:r>
      <w:r w:rsidR="005400D8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ешением Думы </w:t>
      </w:r>
      <w:r w:rsidR="00E50C37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Усть-Кутского муниципального образования от 2</w:t>
      </w:r>
      <w:r w:rsidR="005400D8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8.09.2021</w:t>
      </w:r>
      <w:r w:rsidR="00E50C37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№ 60</w:t>
      </w:r>
      <w:r w:rsidR="005226A6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="00B01ECB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п</w:t>
      </w:r>
      <w:r w:rsidR="00F53157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рограмма профилактики разработана </w:t>
      </w: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</w:t>
      </w:r>
      <w:r w:rsidR="00B1656C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жилищного </w:t>
      </w: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законодательства и снижения рисков причинения ущерба охраняемым законом ценностям.</w:t>
      </w:r>
    </w:p>
    <w:p w:rsidR="00B1656C" w:rsidRPr="00D44F9E" w:rsidRDefault="008E141B" w:rsidP="008E141B">
      <w:pPr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Мониторинг состояния подконтрольных субъектов в сфере </w:t>
      </w:r>
      <w:r w:rsidR="00B1656C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жилищного </w:t>
      </w: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законодательства выявил, что ключевыми и наиболее значимыми рисками являются</w:t>
      </w:r>
      <w:r w:rsidR="00B1656C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нарушение обязательных требований, оказывающих в процессе эксплуатации</w:t>
      </w:r>
      <w:r w:rsidR="00E50C37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угрозу причинения вреда жизни </w:t>
      </w:r>
      <w:r w:rsidR="00B1656C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132A95" w:rsidRPr="00D44F9E" w:rsidRDefault="008E141B" w:rsidP="005835D3">
      <w:pPr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Проведение профилактических мероприятий направлен</w:t>
      </w:r>
      <w:r w:rsidR="005835D3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о</w:t>
      </w: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на соблюдение подконтрольными субъектами обязательных требований </w:t>
      </w:r>
      <w:r w:rsidR="00B1656C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жилищного </w:t>
      </w: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законодательства, на побуждение подконтрольных субъектов к добросовестности, способ</w:t>
      </w:r>
      <w:r w:rsidR="005835D3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ствование</w:t>
      </w: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132A95" w:rsidRPr="00D44F9E" w:rsidRDefault="00132A95" w:rsidP="009E73EF">
      <w:pPr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:rsidR="00CC712D" w:rsidRPr="00D44F9E" w:rsidRDefault="000A008F" w:rsidP="00CC712D">
      <w:pPr>
        <w:jc w:val="center"/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 xml:space="preserve">Раздел </w:t>
      </w:r>
      <w:r w:rsidR="006C633D" w:rsidRPr="00D44F9E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>2</w:t>
      </w:r>
      <w:r w:rsidRPr="00D44F9E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 xml:space="preserve">. </w:t>
      </w:r>
      <w:r w:rsidR="00C35108" w:rsidRPr="00D44F9E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>Цели и задачи реализации программы профилактики</w:t>
      </w:r>
    </w:p>
    <w:p w:rsidR="000A008F" w:rsidRPr="00D44F9E" w:rsidRDefault="000A008F" w:rsidP="000A008F">
      <w:pP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:rsidR="000A008F" w:rsidRPr="00D44F9E" w:rsidRDefault="000A008F" w:rsidP="000A008F">
      <w:pP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ab/>
      </w:r>
      <w:r w:rsidR="0049261E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Основными целями п</w:t>
      </w:r>
      <w:r w:rsidR="006F1261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:rsidR="006F1261" w:rsidRPr="00D44F9E" w:rsidRDefault="006F1261" w:rsidP="000A008F">
      <w:pP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ab/>
      </w:r>
      <w:r w:rsidR="008E686C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1. Стимулирование добросовестного соблюдения обязательных требований всеми подконтрольными субъектами;</w:t>
      </w:r>
    </w:p>
    <w:p w:rsidR="008E686C" w:rsidRPr="00D44F9E" w:rsidRDefault="008E686C" w:rsidP="008E686C">
      <w:pPr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ab/>
        <w:t>2. Устранение условий, причин и факторов, способных привести                            к нарушениям обязательных требований и (или) причинению вреда (ущерба) охраняемым законом ценностям;</w:t>
      </w:r>
    </w:p>
    <w:p w:rsidR="000F3514" w:rsidRPr="00D44F9E" w:rsidRDefault="000F3514" w:rsidP="008E686C">
      <w:pPr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ab/>
        <w:t xml:space="preserve">3. </w:t>
      </w:r>
      <w:r w:rsidR="00B063C3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Создание условий для дов</w:t>
      </w:r>
      <w:r w:rsidR="00E50C37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едения обязательных требований </w:t>
      </w:r>
      <w:r w:rsidR="00B063C3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до контролируемых лиц, повышение и</w:t>
      </w:r>
      <w:bookmarkStart w:id="0" w:name="_GoBack"/>
      <w:bookmarkEnd w:id="0"/>
      <w:r w:rsidR="00B063C3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нформированности о спос</w:t>
      </w:r>
      <w:r w:rsidR="00E50C37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обах</w:t>
      </w:r>
      <w:r w:rsidR="005E4465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="00B063C3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их соблюдения.</w:t>
      </w:r>
    </w:p>
    <w:p w:rsidR="00AD6415" w:rsidRPr="00D44F9E" w:rsidRDefault="00AD6415" w:rsidP="008E686C">
      <w:pPr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ab/>
        <w:t>Основными задачами</w:t>
      </w:r>
      <w:r w:rsidR="0049261E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п</w:t>
      </w: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рограммы профилактики являются:</w:t>
      </w:r>
    </w:p>
    <w:p w:rsidR="00A16FB6" w:rsidRPr="00D44F9E" w:rsidRDefault="00AD6415" w:rsidP="00A16FB6">
      <w:pPr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ab/>
        <w:t xml:space="preserve">1. </w:t>
      </w:r>
      <w:r w:rsidR="00A16FB6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A16FB6" w:rsidRPr="00D44F9E" w:rsidRDefault="00A16FB6" w:rsidP="00A16FB6">
      <w:pPr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2. Повышение правосознания и правовой культуры подконтрольных субъектов;</w:t>
      </w:r>
    </w:p>
    <w:p w:rsidR="00A16FB6" w:rsidRPr="00D44F9E" w:rsidRDefault="00A16FB6" w:rsidP="00A16FB6">
      <w:pPr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lastRenderedPageBreak/>
        <w:t xml:space="preserve">3. </w:t>
      </w:r>
      <w:r w:rsidR="003D7EE0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В</w:t>
      </w:r>
      <w:r w:rsidR="00D668FF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;</w:t>
      </w:r>
    </w:p>
    <w:p w:rsidR="00A16FB6" w:rsidRPr="00D44F9E" w:rsidRDefault="00A16FB6" w:rsidP="00A16FB6">
      <w:pPr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4. </w:t>
      </w:r>
      <w:r w:rsidR="00193D2E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</w:t>
      </w: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;</w:t>
      </w:r>
    </w:p>
    <w:p w:rsidR="00AD6415" w:rsidRPr="00D44F9E" w:rsidRDefault="00A16FB6" w:rsidP="00A16FB6">
      <w:pPr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5. Оценка состояния подконтрольной среды и установление зависимости видов и интенсивности профилактических мероприятий от присвоенных контроли</w:t>
      </w:r>
      <w:r w:rsidR="001C32D4"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руемым лицам уровней риска;</w:t>
      </w:r>
    </w:p>
    <w:p w:rsidR="001C32D4" w:rsidRPr="00D44F9E" w:rsidRDefault="001C32D4" w:rsidP="00A16FB6">
      <w:pPr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6. Формирование единого понимания обязательных требований законодательства у всех участников контрольной деятельности;</w:t>
      </w:r>
    </w:p>
    <w:p w:rsidR="001C32D4" w:rsidRPr="00D44F9E" w:rsidRDefault="00304732" w:rsidP="00A16FB6">
      <w:pPr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7. Повышение уровня правовой грамотности подконтрольных субъектов,         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971112" w:rsidRPr="00D44F9E" w:rsidRDefault="00971112" w:rsidP="00A16FB6">
      <w:pPr>
        <w:ind w:firstLine="708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:rsidR="00333F63" w:rsidRPr="00D44F9E" w:rsidRDefault="00333F63" w:rsidP="00333F63">
      <w:pPr>
        <w:ind w:firstLine="708"/>
        <w:jc w:val="center"/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333F63" w:rsidRPr="00D44F9E" w:rsidRDefault="00333F63" w:rsidP="00333F63">
      <w:pPr>
        <w:ind w:firstLine="708"/>
        <w:jc w:val="center"/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</w:pPr>
    </w:p>
    <w:tbl>
      <w:tblPr>
        <w:tblW w:w="10917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986"/>
        <w:gridCol w:w="3544"/>
      </w:tblGrid>
      <w:tr w:rsidR="00D44F9E" w:rsidRPr="00D44F9E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D44F9E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D44F9E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D44F9E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D44F9E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D44F9E" w:rsidRPr="00D44F9E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D44F9E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D44F9E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F63" w:rsidRPr="00D44F9E" w:rsidRDefault="00333F63" w:rsidP="002F544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57F" w:rsidRPr="00D44F9E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  <w:tr w:rsidR="00E50C37" w:rsidRPr="00D44F9E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37" w:rsidRPr="00D44F9E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37" w:rsidRPr="00D44F9E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Объявление п</w:t>
            </w: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редостережение о недопустимости нарушения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37" w:rsidRPr="00D44F9E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C37" w:rsidRPr="00D44F9E" w:rsidRDefault="00E50C37" w:rsidP="00E50C3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  <w:tr w:rsidR="00F82ED6" w:rsidRPr="00D44F9E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D44F9E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D44F9E" w:rsidRDefault="00F82ED6" w:rsidP="00F82ED6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Консультирование:</w:t>
            </w:r>
          </w:p>
          <w:p w:rsidR="00F82ED6" w:rsidRPr="00D44F9E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1) 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Инспекторы осуществляют консультирование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онтролируемых лиц и их представителей:</w:t>
            </w:r>
          </w:p>
          <w:p w:rsidR="00F82ED6" w:rsidRPr="00D44F9E" w:rsidRDefault="00F82ED6" w:rsidP="00F82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- 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F82ED6" w:rsidRPr="00D44F9E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- 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посредством размещения на официальном сайте Администрации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Усть-Кутского муниципального образования</w:t>
            </w:r>
          </w:p>
          <w:p w:rsidR="00F82ED6" w:rsidRPr="00D44F9E" w:rsidRDefault="00F82ED6" w:rsidP="00F82ED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письменного разъяснения по однотипным обращениям контролируемых лиц и их представителей, подписанного уполномоченным должностным лицом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Контрольного органа.</w:t>
            </w:r>
          </w:p>
          <w:p w:rsidR="00F82ED6" w:rsidRDefault="00F82ED6" w:rsidP="00F82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2)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Индивидуальное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консультирование на </w:t>
            </w:r>
          </w:p>
          <w:p w:rsidR="00F82ED6" w:rsidRPr="00D44F9E" w:rsidRDefault="00F82ED6" w:rsidP="00F82ED6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личном приеме каждого заявителя.</w:t>
            </w:r>
          </w:p>
          <w:p w:rsidR="00F82ED6" w:rsidRDefault="00F82ED6" w:rsidP="00F82ED6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) 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Письменное консультирование контролируемых лиц и их представителей осуществляется по следующим вопросам: </w:t>
            </w:r>
          </w:p>
          <w:p w:rsidR="00F82ED6" w:rsidRPr="00D44F9E" w:rsidRDefault="00F82ED6" w:rsidP="00F82ED6">
            <w:pPr>
              <w:pStyle w:val="ConsPlusNormal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- 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порядок обжалования решений органа муниципального жилищного контроля.</w:t>
            </w:r>
          </w:p>
          <w:p w:rsidR="00F82ED6" w:rsidRPr="00D44F9E" w:rsidRDefault="00F82ED6" w:rsidP="00F82ED6">
            <w:pPr>
              <w:pStyle w:val="ConsPlusNormal"/>
              <w:jc w:val="both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4) 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Контролируемое лицо вправе направить запрос о предоставлении письменного ответа в сроки, установленные Федеральным </w:t>
            </w:r>
            <w:hyperlink r:id="rId8" w:history="1">
              <w:r w:rsidRPr="00D44F9E">
                <w:rPr>
                  <w:rFonts w:ascii="PT Astra Serif" w:hAnsi="PT Astra Serif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D44F9E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D44F9E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  <w:tr w:rsidR="00F82ED6" w:rsidRPr="00D44F9E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D44F9E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D44F9E" w:rsidRDefault="00F82ED6" w:rsidP="00F82ED6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D44F9E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Не менее 1 раза        в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D44F9E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  <w:tr w:rsidR="00F82ED6" w:rsidRPr="00D44F9E" w:rsidTr="00F82E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D44F9E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D44F9E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Обобщение (доклад) правоприменительной практики (в соответствии с постановлением Правительства РФ от 07.12.2020 года N 2041</w:t>
            </w:r>
          </w:p>
          <w:p w:rsidR="00F82ED6" w:rsidRPr="00D44F9E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D44F9E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 xml:space="preserve">не позднее </w:t>
            </w: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 xml:space="preserve">30 января </w:t>
            </w:r>
            <w:r w:rsidRPr="00D44F9E"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 xml:space="preserve">года, следующего                 за </w:t>
            </w:r>
            <w:r>
              <w:rPr>
                <w:rFonts w:ascii="PT Astra Serif" w:hAnsi="PT Astra Serif"/>
                <w:iCs/>
                <w:color w:val="000000" w:themeColor="text1"/>
                <w:sz w:val="24"/>
                <w:szCs w:val="24"/>
              </w:rPr>
              <w:t>годом обобщения правоприменительной практики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D6" w:rsidRPr="00D44F9E" w:rsidRDefault="00F82ED6" w:rsidP="00F82ED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  <w:t>Комитет по управлению муниципальным имуществом Усть-Кутского муниципального образования</w:t>
            </w:r>
          </w:p>
        </w:tc>
      </w:tr>
    </w:tbl>
    <w:p w:rsidR="00333F63" w:rsidRPr="00D44F9E" w:rsidRDefault="00333F63" w:rsidP="00333F63">
      <w:pPr>
        <w:ind w:firstLine="708"/>
        <w:jc w:val="center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:rsidR="00DE5AE0" w:rsidRPr="00D44F9E" w:rsidRDefault="00DE5AE0" w:rsidP="00333F63">
      <w:pPr>
        <w:ind w:firstLine="708"/>
        <w:jc w:val="center"/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</w:pPr>
      <w:r w:rsidRPr="00D44F9E"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  <w:t>Раздел 4. Показатели результативности и эффективности программы профилактики</w:t>
      </w:r>
    </w:p>
    <w:p w:rsidR="00071BDB" w:rsidRPr="00D44F9E" w:rsidRDefault="00071BDB" w:rsidP="00333F63">
      <w:pPr>
        <w:ind w:firstLine="708"/>
        <w:jc w:val="center"/>
        <w:rPr>
          <w:rFonts w:ascii="PT Astra Serif" w:eastAsia="Times New Roman" w:hAnsi="PT Astra Serif"/>
          <w:b/>
          <w:color w:val="000000" w:themeColor="text1"/>
          <w:sz w:val="28"/>
          <w:szCs w:val="28"/>
          <w:lang w:eastAsia="ru-RU"/>
        </w:rPr>
      </w:pPr>
    </w:p>
    <w:tbl>
      <w:tblPr>
        <w:tblW w:w="10916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4050"/>
      </w:tblGrid>
      <w:tr w:rsidR="00D44F9E" w:rsidRPr="00D44F9E" w:rsidTr="002025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D44F9E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D44F9E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D44F9E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Величина</w:t>
            </w:r>
          </w:p>
        </w:tc>
      </w:tr>
      <w:tr w:rsidR="00D44F9E" w:rsidRPr="00D44F9E" w:rsidTr="002025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D44F9E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D44F9E" w:rsidRDefault="00071BDB" w:rsidP="009D654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 w:rsidR="003141D1"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органа </w:t>
            </w:r>
            <w:r w:rsidR="009D6547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Администрации Усть-Кутского муниципального образования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D44F9E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100</w:t>
            </w:r>
            <w:r w:rsidR="00A603B3"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%</w:t>
            </w:r>
          </w:p>
        </w:tc>
      </w:tr>
      <w:tr w:rsidR="00D44F9E" w:rsidRPr="00D44F9E" w:rsidTr="002025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D44F9E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D44F9E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Удовлетворенность контролируемых лиц </w:t>
            </w:r>
            <w:r w:rsidR="00AB607C"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                                      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 их представителями консультированием контрольного (надзорного) органа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D44F9E" w:rsidRDefault="00071BDB" w:rsidP="00A603B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100</w:t>
            </w:r>
            <w:r w:rsidR="00A603B3"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% от числа обратившихся</w:t>
            </w:r>
          </w:p>
        </w:tc>
      </w:tr>
      <w:tr w:rsidR="00071BDB" w:rsidRPr="00D44F9E" w:rsidTr="0020250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D44F9E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D44F9E" w:rsidRDefault="00071BDB" w:rsidP="00CF609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DB" w:rsidRPr="00D44F9E" w:rsidRDefault="00071BDB" w:rsidP="00A146C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не менее 1 мероприяти</w:t>
            </w:r>
            <w:r w:rsidR="00D30DF7"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я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 проведенн</w:t>
            </w:r>
            <w:r w:rsidR="00D30DF7"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ого</w:t>
            </w:r>
            <w:r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9A25B2"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органом муниципального </w:t>
            </w:r>
            <w:r w:rsidR="00A146C1"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жилищного </w:t>
            </w:r>
            <w:r w:rsidR="009A25B2" w:rsidRPr="00D44F9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контроля</w:t>
            </w:r>
          </w:p>
        </w:tc>
      </w:tr>
    </w:tbl>
    <w:p w:rsidR="00071BDB" w:rsidRPr="00D44F9E" w:rsidRDefault="00071BDB" w:rsidP="00333F63">
      <w:pPr>
        <w:ind w:firstLine="708"/>
        <w:jc w:val="center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sectPr w:rsidR="00071BDB" w:rsidRPr="00D44F9E" w:rsidSect="00202500">
      <w:headerReference w:type="even" r:id="rId9"/>
      <w:headerReference w:type="default" r:id="rId10"/>
      <w:footerReference w:type="first" r:id="rId11"/>
      <w:pgSz w:w="11906" w:h="16838" w:code="9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295" w:rsidRDefault="00781295">
      <w:r>
        <w:separator/>
      </w:r>
    </w:p>
  </w:endnote>
  <w:endnote w:type="continuationSeparator" w:id="0">
    <w:p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295" w:rsidRDefault="00781295">
      <w:r>
        <w:separator/>
      </w:r>
    </w:p>
  </w:footnote>
  <w:footnote w:type="continuationSeparator" w:id="0">
    <w:p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8D" w:rsidRDefault="00780052">
    <w:pPr>
      <w:pStyle w:val="a9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202500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61EC"/>
    <w:rsid w:val="001F1147"/>
    <w:rsid w:val="001F1C47"/>
    <w:rsid w:val="001F7E11"/>
    <w:rsid w:val="0020044F"/>
    <w:rsid w:val="00202500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2C7E"/>
    <w:rsid w:val="00394438"/>
    <w:rsid w:val="003B3C13"/>
    <w:rsid w:val="003B4FD5"/>
    <w:rsid w:val="003C23FB"/>
    <w:rsid w:val="003D598C"/>
    <w:rsid w:val="003D59AD"/>
    <w:rsid w:val="003D7EE0"/>
    <w:rsid w:val="0040509A"/>
    <w:rsid w:val="0040629F"/>
    <w:rsid w:val="00420C38"/>
    <w:rsid w:val="004274A0"/>
    <w:rsid w:val="00436518"/>
    <w:rsid w:val="0044240D"/>
    <w:rsid w:val="00442DCC"/>
    <w:rsid w:val="0045318E"/>
    <w:rsid w:val="00455AE7"/>
    <w:rsid w:val="00455DCA"/>
    <w:rsid w:val="00482A0A"/>
    <w:rsid w:val="0049261E"/>
    <w:rsid w:val="004B21F1"/>
    <w:rsid w:val="004B408D"/>
    <w:rsid w:val="004C3D54"/>
    <w:rsid w:val="004C722E"/>
    <w:rsid w:val="004D241E"/>
    <w:rsid w:val="004D79F0"/>
    <w:rsid w:val="004E0B0A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C79DE"/>
    <w:rsid w:val="005E1C26"/>
    <w:rsid w:val="005E4465"/>
    <w:rsid w:val="005E7B51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D2853"/>
    <w:rsid w:val="007D5C88"/>
    <w:rsid w:val="007E2990"/>
    <w:rsid w:val="007E29DF"/>
    <w:rsid w:val="007E6329"/>
    <w:rsid w:val="007F2288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5628F"/>
    <w:rsid w:val="00971112"/>
    <w:rsid w:val="009762E5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D9A"/>
    <w:rsid w:val="00AA6BD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C02860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50C37"/>
    <w:rsid w:val="00E51FC6"/>
    <w:rsid w:val="00E5239E"/>
    <w:rsid w:val="00E64393"/>
    <w:rsid w:val="00E65878"/>
    <w:rsid w:val="00E66886"/>
    <w:rsid w:val="00E67B15"/>
    <w:rsid w:val="00E70A5C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semiHidden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Название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504E9-CFE8-4334-A385-E35A2EB4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</dc:creator>
  <cp:lastModifiedBy>Ирина И.К.. Смирнова</cp:lastModifiedBy>
  <cp:revision>4</cp:revision>
  <cp:lastPrinted>2021-09-30T12:48:00Z</cp:lastPrinted>
  <dcterms:created xsi:type="dcterms:W3CDTF">2021-11-10T08:55:00Z</dcterms:created>
  <dcterms:modified xsi:type="dcterms:W3CDTF">2021-11-10T08:57:00Z</dcterms:modified>
</cp:coreProperties>
</file>